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312" w:type="dxa"/>
        <w:tblCellSpacing w:w="0" w:type="dxa"/>
        <w:tblInd w:w="0" w:type="dxa"/>
        <w:shd w:val="clear" w:color="auto" w:fill="FFFFFF"/>
        <w:tblLayout w:type="fixed"/>
        <w:tblCellMar>
          <w:top w:w="45" w:type="dxa"/>
          <w:left w:w="45" w:type="dxa"/>
          <w:bottom w:w="45" w:type="dxa"/>
          <w:right w:w="45" w:type="dxa"/>
        </w:tblCellMar>
      </w:tblPr>
      <w:tblGrid>
        <w:gridCol w:w="8312"/>
      </w:tblGrid>
      <w:tr>
        <w:tblPrEx>
          <w:tblLayout w:type="fixed"/>
          <w:tblCellMar>
            <w:top w:w="45" w:type="dxa"/>
            <w:left w:w="45" w:type="dxa"/>
            <w:bottom w:w="45" w:type="dxa"/>
            <w:right w:w="45" w:type="dxa"/>
          </w:tblCellMar>
        </w:tblPrEx>
        <w:trPr>
          <w:tblCellSpacing w:w="0" w:type="dxa"/>
        </w:trPr>
        <w:tc>
          <w:tcPr>
            <w:tcW w:w="8312" w:type="dxa"/>
            <w:shd w:val="clear" w:color="auto" w:fill="FFFFFF"/>
            <w:vAlign w:val="center"/>
          </w:tcPr>
          <w:p>
            <w:pPr>
              <w:widowControl/>
              <w:jc w:val="center"/>
              <w:rPr>
                <w:rFonts w:ascii="Arial" w:hAnsi="Arial" w:eastAsia="宋体" w:cs="Arial"/>
                <w:color w:val="000000"/>
                <w:kern w:val="0"/>
                <w:sz w:val="18"/>
                <w:szCs w:val="18"/>
              </w:rPr>
            </w:pPr>
            <w:r>
              <w:rPr>
                <w:rFonts w:ascii="Arial" w:hAnsi="Arial" w:eastAsia="宋体" w:cs="Arial"/>
                <w:b/>
                <w:bCs/>
                <w:color w:val="808000"/>
                <w:kern w:val="0"/>
                <w:sz w:val="27"/>
                <w:szCs w:val="27"/>
              </w:rPr>
              <w:t>焊接机器人及其柔性夹具控制系统</w:t>
            </w:r>
          </w:p>
        </w:tc>
      </w:tr>
      <w:tr>
        <w:tblPrEx>
          <w:shd w:val="clear" w:color="auto" w:fill="FFFFFF"/>
          <w:tblLayout w:type="fixed"/>
          <w:tblCellMar>
            <w:top w:w="45" w:type="dxa"/>
            <w:left w:w="45" w:type="dxa"/>
            <w:bottom w:w="45" w:type="dxa"/>
            <w:right w:w="45" w:type="dxa"/>
          </w:tblCellMar>
        </w:tblPrEx>
        <w:trPr>
          <w:trHeight w:val="75" w:hRule="atLeast"/>
          <w:tblCellSpacing w:w="0" w:type="dxa"/>
        </w:trPr>
        <w:tc>
          <w:tcPr>
            <w:tcW w:w="8312" w:type="dxa"/>
            <w:shd w:val="clear" w:color="auto" w:fill="FFFFFF"/>
            <w:vAlign w:val="center"/>
          </w:tcPr>
          <w:p>
            <w:pPr>
              <w:widowControl/>
              <w:jc w:val="left"/>
              <w:rPr>
                <w:rFonts w:ascii="Arial" w:hAnsi="Arial" w:eastAsia="宋体" w:cs="Arial"/>
                <w:color w:val="000000"/>
                <w:kern w:val="0"/>
                <w:sz w:val="8"/>
                <w:szCs w:val="18"/>
              </w:rPr>
            </w:pPr>
          </w:p>
        </w:tc>
      </w:tr>
      <w:tr>
        <w:tblPrEx>
          <w:shd w:val="clear" w:color="auto" w:fill="FFFFFF"/>
          <w:tblLayout w:type="fixed"/>
          <w:tblCellMar>
            <w:top w:w="45" w:type="dxa"/>
            <w:left w:w="45" w:type="dxa"/>
            <w:bottom w:w="45" w:type="dxa"/>
            <w:right w:w="45" w:type="dxa"/>
          </w:tblCellMar>
        </w:tblPrEx>
        <w:trPr>
          <w:tblCellSpacing w:w="0" w:type="dxa"/>
        </w:trPr>
        <w:tc>
          <w:tcPr>
            <w:tcW w:w="8312" w:type="dxa"/>
            <w:shd w:val="clear" w:color="auto" w:fill="FFFFFF"/>
            <w:vAlign w:val="center"/>
          </w:tcPr>
          <w:p>
            <w:pPr>
              <w:widowControl/>
              <w:jc w:val="both"/>
              <w:rPr>
                <w:rFonts w:ascii="Arial" w:hAnsi="Arial" w:eastAsia="宋体" w:cs="Arial"/>
                <w:color w:val="000000"/>
                <w:kern w:val="0"/>
                <w:sz w:val="18"/>
                <w:szCs w:val="18"/>
              </w:rPr>
            </w:pPr>
          </w:p>
        </w:tc>
      </w:tr>
      <w:tr>
        <w:tblPrEx>
          <w:shd w:val="clear" w:color="auto" w:fill="FFFFFF"/>
          <w:tblLayout w:type="fixed"/>
          <w:tblCellMar>
            <w:top w:w="45" w:type="dxa"/>
            <w:left w:w="45" w:type="dxa"/>
            <w:bottom w:w="45" w:type="dxa"/>
            <w:right w:w="45" w:type="dxa"/>
          </w:tblCellMar>
        </w:tblPrEx>
        <w:trPr>
          <w:trHeight w:val="120" w:hRule="atLeast"/>
          <w:tblCellSpacing w:w="0" w:type="dxa"/>
        </w:trPr>
        <w:tc>
          <w:tcPr>
            <w:tcW w:w="8312" w:type="dxa"/>
            <w:shd w:val="clear" w:color="auto" w:fill="FFFFFF"/>
            <w:vAlign w:val="center"/>
          </w:tcPr>
          <w:p>
            <w:pPr>
              <w:widowControl/>
              <w:jc w:val="left"/>
              <w:rPr>
                <w:rFonts w:ascii="Arial" w:hAnsi="Arial" w:eastAsia="宋体" w:cs="Arial"/>
                <w:color w:val="000000"/>
                <w:kern w:val="0"/>
                <w:sz w:val="12"/>
                <w:szCs w:val="18"/>
              </w:rPr>
            </w:pPr>
          </w:p>
        </w:tc>
      </w:tr>
      <w:tr>
        <w:tblPrEx>
          <w:shd w:val="clear" w:color="auto" w:fill="FFFFFF"/>
          <w:tblLayout w:type="fixed"/>
          <w:tblCellMar>
            <w:top w:w="45" w:type="dxa"/>
            <w:left w:w="45" w:type="dxa"/>
            <w:bottom w:w="45" w:type="dxa"/>
            <w:right w:w="45" w:type="dxa"/>
          </w:tblCellMar>
        </w:tblPrEx>
        <w:trPr>
          <w:tblCellSpacing w:w="0" w:type="dxa"/>
        </w:trPr>
        <w:tc>
          <w:tcPr>
            <w:tcW w:w="8312" w:type="dxa"/>
            <w:shd w:val="clear" w:color="auto" w:fill="FFFFFF"/>
            <w:vAlign w:val="center"/>
          </w:tcPr>
          <w:p>
            <w:pPr>
              <w:widowControl/>
              <w:spacing w:line="273" w:lineRule="atLeast"/>
              <w:jc w:val="left"/>
              <w:rPr>
                <w:rFonts w:ascii="Arial" w:hAnsi="Arial" w:eastAsia="宋体" w:cs="Arial"/>
                <w:color w:val="000000"/>
                <w:kern w:val="0"/>
                <w:szCs w:val="21"/>
              </w:rPr>
            </w:pPr>
            <w:r>
              <w:rPr>
                <w:rFonts w:ascii="Arial" w:hAnsi="Arial" w:eastAsia="宋体" w:cs="Arial"/>
                <w:color w:val="000000"/>
                <w:kern w:val="0"/>
                <w:szCs w:val="21"/>
              </w:rPr>
              <w:t>焊接</w:t>
            </w:r>
            <w:r>
              <w:fldChar w:fldCharType="begin"/>
            </w:r>
            <w:r>
              <w:instrText xml:space="preserve"> HYPERLINK "http://cn.newmaker.com/cat_1980035.html" \t "_blank" </w:instrText>
            </w:r>
            <w:r>
              <w:fldChar w:fldCharType="separate"/>
            </w:r>
            <w:r>
              <w:rPr>
                <w:rFonts w:ascii="Arial" w:hAnsi="Arial" w:eastAsia="宋体" w:cs="Arial"/>
                <w:color w:val="000099"/>
                <w:kern w:val="0"/>
                <w:szCs w:val="21"/>
              </w:rPr>
              <w:t>机器人</w:t>
            </w:r>
            <w:r>
              <w:rPr>
                <w:rFonts w:ascii="Arial" w:hAnsi="Arial" w:eastAsia="宋体" w:cs="Arial"/>
                <w:color w:val="000099"/>
                <w:kern w:val="0"/>
                <w:szCs w:val="21"/>
              </w:rPr>
              <w:fldChar w:fldCharType="end"/>
            </w:r>
            <w:r>
              <w:rPr>
                <w:rFonts w:ascii="Arial" w:hAnsi="Arial" w:eastAsia="宋体" w:cs="Arial"/>
                <w:color w:val="000000"/>
                <w:kern w:val="0"/>
                <w:szCs w:val="21"/>
              </w:rPr>
              <w:t>及柔性夹具控制系统在结构上主要由两部分组成：机械系统和控制系统。机械系统包括机器人工作房、机器人本体、机器人外轴回转台及机器人周边设备等；控制系统可分为机器人控制系统、工装夹具识别及控制系统、</w:t>
            </w:r>
            <w:r>
              <w:fldChar w:fldCharType="begin"/>
            </w:r>
            <w:r>
              <w:instrText xml:space="preserve"> HYPERLINK "http://cn.newmaker.com/cat_1980005.html" \t "_blank" </w:instrText>
            </w:r>
            <w:r>
              <w:fldChar w:fldCharType="separate"/>
            </w:r>
            <w:r>
              <w:rPr>
                <w:rFonts w:ascii="Arial" w:hAnsi="Arial" w:eastAsia="宋体" w:cs="Arial"/>
                <w:color w:val="000099"/>
                <w:kern w:val="0"/>
                <w:szCs w:val="21"/>
              </w:rPr>
              <w:t>人机界面</w:t>
            </w:r>
            <w:r>
              <w:rPr>
                <w:rFonts w:ascii="Arial" w:hAnsi="Arial" w:eastAsia="宋体" w:cs="Arial"/>
                <w:color w:val="000099"/>
                <w:kern w:val="0"/>
                <w:szCs w:val="21"/>
              </w:rPr>
              <w:fldChar w:fldCharType="end"/>
            </w:r>
            <w:r>
              <w:rPr>
                <w:rFonts w:ascii="Arial" w:hAnsi="Arial" w:eastAsia="宋体" w:cs="Arial"/>
                <w:color w:val="000000"/>
                <w:kern w:val="0"/>
                <w:szCs w:val="21"/>
              </w:rPr>
              <w:t>等辅助单元。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机械结构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1．机器人工作房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机器人工作房的布置及主要部件如图1所示，工作房外形为六边梯形，房间由方管框架加薄铁板焊接而成，焊接机器人在房间中央位置，左右对称位置各有一个工作台，分别由两个机器人外轴电机直接驱动。两工作台之间有30°左右的夹角，机器人工作时可在两工位之间切换，即机器人在左侧工位焊接时，操作工可在右侧工位上下料，同样，当机器人在右侧工位工作时，操作工可在左侧装拆工件，这样可使机器人停机等待时间大大减少，从而提高生产效率。</w:t>
            </w:r>
          </w:p>
          <w:p>
            <w:pPr>
              <w:widowControl/>
              <w:spacing w:before="100" w:beforeAutospacing="1" w:after="100" w:afterAutospacing="1" w:line="273" w:lineRule="atLeast"/>
              <w:jc w:val="center"/>
              <w:rPr>
                <w:rFonts w:ascii="Arial" w:hAnsi="Arial" w:eastAsia="宋体" w:cs="Arial"/>
                <w:color w:val="000000"/>
                <w:kern w:val="0"/>
                <w:sz w:val="18"/>
                <w:szCs w:val="18"/>
              </w:rPr>
            </w:pPr>
            <w:r>
              <w:rPr>
                <w:rFonts w:ascii="Arial" w:hAnsi="Arial" w:eastAsia="宋体" w:cs="Arial"/>
                <w:color w:val="000000"/>
                <w:kern w:val="0"/>
                <w:sz w:val="18"/>
                <w:szCs w:val="18"/>
              </w:rPr>
              <w:drawing>
                <wp:inline distT="0" distB="0" distL="0" distR="0">
                  <wp:extent cx="3886200" cy="2914650"/>
                  <wp:effectExtent l="0" t="0" r="0" b="0"/>
                  <wp:docPr id="7" name="图片 7" descr="http://img.newmaker.com/u/art_img/20057/20057122114283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img.newmaker.com/u/art_img/20057/2005712211428349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886200" cy="2914650"/>
                          </a:xfrm>
                          <a:prstGeom prst="rect">
                            <a:avLst/>
                          </a:prstGeom>
                          <a:noFill/>
                          <a:ln>
                            <a:noFill/>
                          </a:ln>
                        </pic:spPr>
                      </pic:pic>
                    </a:graphicData>
                  </a:graphic>
                </wp:inline>
              </w:drawing>
            </w:r>
            <w:r>
              <w:rPr>
                <w:rFonts w:ascii="Arial" w:hAnsi="Arial" w:eastAsia="宋体" w:cs="Arial"/>
                <w:color w:val="000000"/>
                <w:kern w:val="0"/>
                <w:sz w:val="18"/>
                <w:szCs w:val="18"/>
              </w:rPr>
              <w:t> </w:t>
            </w:r>
            <w:r>
              <w:rPr>
                <w:rFonts w:ascii="Arial" w:hAnsi="Arial" w:eastAsia="宋体" w:cs="Arial"/>
                <w:color w:val="000000"/>
                <w:kern w:val="0"/>
                <w:sz w:val="18"/>
                <w:szCs w:val="18"/>
              </w:rPr>
              <w:br w:type="textWrapping"/>
            </w:r>
            <w:r>
              <w:rPr>
                <w:rFonts w:ascii="Arial" w:hAnsi="Arial" w:eastAsia="宋体" w:cs="Arial"/>
                <w:color w:val="000000"/>
                <w:kern w:val="0"/>
                <w:sz w:val="18"/>
                <w:szCs w:val="18"/>
              </w:rPr>
              <w:t>图1 机器人工作房顶视图</w:t>
            </w:r>
          </w:p>
          <w:p>
            <w:pPr>
              <w:widowControl/>
              <w:spacing w:line="273" w:lineRule="atLeast"/>
              <w:jc w:val="left"/>
              <w:rPr>
                <w:rFonts w:ascii="Arial" w:hAnsi="Arial" w:eastAsia="宋体" w:cs="Arial"/>
                <w:color w:val="000000"/>
                <w:kern w:val="0"/>
                <w:szCs w:val="21"/>
              </w:rPr>
            </w:pPr>
            <w:r>
              <w:rPr>
                <w:rFonts w:ascii="Arial" w:hAnsi="Arial" w:eastAsia="宋体" w:cs="Arial"/>
                <w:color w:val="000000"/>
                <w:kern w:val="0"/>
                <w:szCs w:val="21"/>
              </w:rPr>
              <w:t>在机器人和回转台之间有气缸驱动的隔离装置，它可以遮挡弧焊时产生的弧光和焊渣，并保护操作者在另一侧操作时不受影响。在两工位外侧开了两个门，以便操作，该门上方安装了气动门帘，焊接时可自动关上，以遮挡弧光和焊渣。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两工位外侧分别有一个双手启动操作盒，用以操作焊接夹具盒启动机器人进行焊接工作。在整个工作房的前侧有一个主操作面板，上面安装了触摸屏和若干按钮，在此可以对系统进行设置和操作。机器人工作房的外观如图2所示。</w:t>
            </w:r>
          </w:p>
          <w:p>
            <w:pPr>
              <w:widowControl/>
              <w:spacing w:before="100" w:beforeAutospacing="1" w:after="100" w:afterAutospacing="1" w:line="273" w:lineRule="atLeast"/>
              <w:jc w:val="center"/>
              <w:rPr>
                <w:rFonts w:ascii="Arial" w:hAnsi="Arial" w:eastAsia="宋体" w:cs="Arial"/>
                <w:color w:val="000000"/>
                <w:kern w:val="0"/>
                <w:sz w:val="18"/>
                <w:szCs w:val="18"/>
              </w:rPr>
            </w:pPr>
            <w:r>
              <w:rPr>
                <w:rFonts w:ascii="Arial" w:hAnsi="Arial" w:eastAsia="宋体" w:cs="Arial"/>
                <w:color w:val="000000"/>
                <w:kern w:val="0"/>
                <w:sz w:val="18"/>
                <w:szCs w:val="18"/>
              </w:rPr>
              <w:drawing>
                <wp:inline distT="0" distB="0" distL="0" distR="0">
                  <wp:extent cx="2743200" cy="2057400"/>
                  <wp:effectExtent l="0" t="0" r="0" b="0"/>
                  <wp:docPr id="6" name="图片 6" descr="http://img.newmaker.com/u/art_img/20057/20057122122170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img.newmaker.com/u/art_img/20057/200571221221705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743200" cy="2057400"/>
                          </a:xfrm>
                          <a:prstGeom prst="rect">
                            <a:avLst/>
                          </a:prstGeom>
                          <a:noFill/>
                          <a:ln>
                            <a:noFill/>
                          </a:ln>
                        </pic:spPr>
                      </pic:pic>
                    </a:graphicData>
                  </a:graphic>
                </wp:inline>
              </w:drawing>
            </w:r>
            <w:r>
              <w:rPr>
                <w:rFonts w:ascii="Arial" w:hAnsi="Arial" w:eastAsia="宋体" w:cs="Arial"/>
                <w:color w:val="000000"/>
                <w:kern w:val="0"/>
                <w:sz w:val="18"/>
                <w:szCs w:val="18"/>
              </w:rPr>
              <w:t> </w:t>
            </w:r>
            <w:r>
              <w:rPr>
                <w:rFonts w:ascii="Arial" w:hAnsi="Arial" w:eastAsia="宋体" w:cs="Arial"/>
                <w:color w:val="000000"/>
                <w:kern w:val="0"/>
                <w:sz w:val="18"/>
                <w:szCs w:val="18"/>
              </w:rPr>
              <w:br w:type="textWrapping"/>
            </w:r>
            <w:r>
              <w:rPr>
                <w:rFonts w:ascii="Arial" w:hAnsi="Arial" w:eastAsia="宋体" w:cs="Arial"/>
                <w:color w:val="000000"/>
                <w:kern w:val="0"/>
                <w:sz w:val="18"/>
                <w:szCs w:val="18"/>
              </w:rPr>
              <w:t>图2 机器人工作房图</w:t>
            </w:r>
          </w:p>
          <w:p>
            <w:pPr>
              <w:widowControl/>
              <w:spacing w:line="273" w:lineRule="atLeast"/>
              <w:jc w:val="left"/>
              <w:rPr>
                <w:rFonts w:ascii="Arial" w:hAnsi="Arial" w:eastAsia="宋体" w:cs="Arial"/>
                <w:color w:val="000000"/>
                <w:kern w:val="0"/>
                <w:szCs w:val="21"/>
              </w:rPr>
            </w:pPr>
            <w:r>
              <w:rPr>
                <w:rFonts w:ascii="Arial" w:hAnsi="Arial" w:eastAsia="宋体" w:cs="Arial"/>
                <w:color w:val="000000"/>
                <w:kern w:val="0"/>
                <w:szCs w:val="21"/>
              </w:rPr>
              <w:t>我们采用的FANUC ROBOWELD 100i系列焊接机器人是标准的六轴机器人，具有六个自由度，理论上可以达到运动范围内的任意一点，其臂展范围为1440mm，配以松下的焊枪，足以满足本系统的需要。另外，汽车零部件的焊接对机器人轨迹的重复定位精度有一定要求，一般应小于0.5mm，而该机器人可达到0.2mm，可以满足生产需要。此外，整车厂商对及时供货和零库存的要求决定了零部件厂商对生产效率的关注，所以对设备的</w:t>
            </w:r>
            <w:r>
              <w:fldChar w:fldCharType="begin"/>
            </w:r>
            <w:r>
              <w:instrText xml:space="preserve"> HYPERLINK "http://ia.newmaker.com/" \t "_blank" </w:instrText>
            </w:r>
            <w:r>
              <w:fldChar w:fldCharType="separate"/>
            </w:r>
            <w:r>
              <w:rPr>
                <w:rFonts w:ascii="Arial" w:hAnsi="Arial" w:eastAsia="宋体" w:cs="Arial"/>
                <w:color w:val="000099"/>
                <w:kern w:val="0"/>
                <w:szCs w:val="21"/>
              </w:rPr>
              <w:t>自动化</w:t>
            </w:r>
            <w:r>
              <w:rPr>
                <w:rFonts w:ascii="Arial" w:hAnsi="Arial" w:eastAsia="宋体" w:cs="Arial"/>
                <w:color w:val="000099"/>
                <w:kern w:val="0"/>
                <w:szCs w:val="21"/>
              </w:rPr>
              <w:fldChar w:fldCharType="end"/>
            </w:r>
            <w:r>
              <w:rPr>
                <w:rFonts w:ascii="Arial" w:hAnsi="Arial" w:eastAsia="宋体" w:cs="Arial"/>
                <w:color w:val="000000"/>
                <w:kern w:val="0"/>
                <w:szCs w:val="21"/>
              </w:rPr>
              <w:t>程度和零件生产节拍有近乎苛刻的要求，FANUC机器人2000mm/s的直线速度可以大大减少机器人轨迹中空行程所浪费的时间。机器人本体外形如图3所示。</w:t>
            </w:r>
          </w:p>
          <w:p>
            <w:pPr>
              <w:widowControl/>
              <w:spacing w:before="100" w:beforeAutospacing="1" w:after="100" w:afterAutospacing="1" w:line="273" w:lineRule="atLeast"/>
              <w:jc w:val="center"/>
              <w:rPr>
                <w:rFonts w:ascii="Arial" w:hAnsi="Arial" w:eastAsia="宋体" w:cs="Arial"/>
                <w:color w:val="000000"/>
                <w:kern w:val="0"/>
                <w:sz w:val="18"/>
                <w:szCs w:val="18"/>
              </w:rPr>
            </w:pPr>
            <w:r>
              <w:rPr>
                <w:rFonts w:ascii="Arial" w:hAnsi="Arial" w:eastAsia="宋体" w:cs="Arial"/>
                <w:color w:val="000000"/>
                <w:kern w:val="0"/>
                <w:sz w:val="18"/>
                <w:szCs w:val="18"/>
              </w:rPr>
              <w:drawing>
                <wp:inline distT="0" distB="0" distL="0" distR="0">
                  <wp:extent cx="2971800" cy="2228850"/>
                  <wp:effectExtent l="0" t="0" r="0" b="0"/>
                  <wp:docPr id="5" name="图片 5" descr="http://img.newmaker.com/u/art_img/20057/2005712213093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img.newmaker.com/u/art_img/20057/200571221309367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971800" cy="2228850"/>
                          </a:xfrm>
                          <a:prstGeom prst="rect">
                            <a:avLst/>
                          </a:prstGeom>
                          <a:noFill/>
                          <a:ln>
                            <a:noFill/>
                          </a:ln>
                        </pic:spPr>
                      </pic:pic>
                    </a:graphicData>
                  </a:graphic>
                </wp:inline>
              </w:drawing>
            </w:r>
            <w:r>
              <w:rPr>
                <w:rFonts w:ascii="Arial" w:hAnsi="Arial" w:eastAsia="宋体" w:cs="Arial"/>
                <w:color w:val="000000"/>
                <w:kern w:val="0"/>
                <w:sz w:val="18"/>
                <w:szCs w:val="18"/>
              </w:rPr>
              <w:t> </w:t>
            </w:r>
            <w:r>
              <w:rPr>
                <w:rFonts w:ascii="Arial" w:hAnsi="Arial" w:eastAsia="宋体" w:cs="Arial"/>
                <w:color w:val="000000"/>
                <w:kern w:val="0"/>
                <w:sz w:val="18"/>
                <w:szCs w:val="18"/>
              </w:rPr>
              <w:br w:type="textWrapping"/>
            </w:r>
            <w:r>
              <w:rPr>
                <w:rFonts w:ascii="Arial" w:hAnsi="Arial" w:eastAsia="宋体" w:cs="Arial"/>
                <w:color w:val="000000"/>
                <w:kern w:val="0"/>
                <w:sz w:val="18"/>
                <w:szCs w:val="18"/>
              </w:rPr>
              <w:t>图3 机器人本体</w:t>
            </w:r>
          </w:p>
          <w:p>
            <w:pPr>
              <w:widowControl/>
              <w:spacing w:line="273" w:lineRule="atLeast"/>
              <w:jc w:val="left"/>
              <w:rPr>
                <w:rFonts w:ascii="Arial" w:hAnsi="Arial" w:eastAsia="宋体" w:cs="Arial"/>
                <w:color w:val="000000"/>
                <w:kern w:val="0"/>
                <w:szCs w:val="21"/>
              </w:rPr>
            </w:pPr>
            <w:r>
              <w:rPr>
                <w:rFonts w:ascii="Arial" w:hAnsi="Arial" w:eastAsia="宋体" w:cs="Arial"/>
                <w:color w:val="000000"/>
                <w:kern w:val="0"/>
                <w:szCs w:val="21"/>
              </w:rPr>
              <w:t>3．机器人外轴回转台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外轴回转台由支架、驱动电机、减速器和回转框架等构成，焊接夹具就固定在该框架上。回转由机器人外轴直接控制，除去了以往由</w:t>
            </w:r>
            <w:r>
              <w:fldChar w:fldCharType="begin"/>
            </w:r>
            <w:r>
              <w:instrText xml:space="preserve"> HYPERLINK "http://cn.newmaker.com/cat_1980002.html" \t "_blank" </w:instrText>
            </w:r>
            <w:r>
              <w:fldChar w:fldCharType="separate"/>
            </w:r>
            <w:r>
              <w:rPr>
                <w:rFonts w:ascii="Arial" w:hAnsi="Arial" w:eastAsia="宋体" w:cs="Arial"/>
                <w:color w:val="000099"/>
                <w:kern w:val="0"/>
                <w:szCs w:val="21"/>
              </w:rPr>
              <w:t>PLC</w:t>
            </w:r>
            <w:r>
              <w:rPr>
                <w:rFonts w:ascii="Arial" w:hAnsi="Arial" w:eastAsia="宋体" w:cs="Arial"/>
                <w:color w:val="000099"/>
                <w:kern w:val="0"/>
                <w:szCs w:val="21"/>
              </w:rPr>
              <w:fldChar w:fldCharType="end"/>
            </w:r>
            <w:r>
              <w:rPr>
                <w:rFonts w:ascii="Arial" w:hAnsi="Arial" w:eastAsia="宋体" w:cs="Arial"/>
                <w:color w:val="000000"/>
                <w:kern w:val="0"/>
                <w:szCs w:val="21"/>
              </w:rPr>
              <w:t>控制的转台单独回转、位置确认以及与机器人通信等过程所增加的许多时间。由于该回转台主动侧和从动侧之间的跨度较大（1800mm），而且在工作时转速又很高，因此对回转台在回转时的跳动范围是有一定要求的，需认真调校才能使回转台在工作时运转平稳，否则很容易引起电机过载、过热等情况，严重时将损坏设备。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4．机器人周边设备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机器人焊接时还需要用到其他辅助设备来使生产顺利进行，并减少停机时间、降低设备故障率、提高安全性等，所以，该机器人工作房中还安装了一些周边设备，如焊丝剪切装置、喷硅油装置、焊枪清洗装置、光电保护装置、焊丝管平衡吊空装置等。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控制系统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该机器人工作房的控制系统可分为主控系统和机器人控制系统两个层次，其总体结构如图4所示。</w:t>
            </w:r>
          </w:p>
          <w:p>
            <w:pPr>
              <w:widowControl/>
              <w:spacing w:before="100" w:beforeAutospacing="1" w:after="100" w:afterAutospacing="1" w:line="273" w:lineRule="atLeast"/>
              <w:jc w:val="center"/>
              <w:rPr>
                <w:rFonts w:ascii="Arial" w:hAnsi="Arial" w:eastAsia="宋体" w:cs="Arial"/>
                <w:color w:val="000000"/>
                <w:kern w:val="0"/>
                <w:sz w:val="18"/>
                <w:szCs w:val="18"/>
              </w:rPr>
            </w:pPr>
            <w:r>
              <w:rPr>
                <w:rFonts w:ascii="Arial" w:hAnsi="Arial" w:eastAsia="宋体" w:cs="Arial"/>
                <w:color w:val="000000"/>
                <w:kern w:val="0"/>
                <w:sz w:val="18"/>
                <w:szCs w:val="18"/>
              </w:rPr>
              <w:drawing>
                <wp:inline distT="0" distB="0" distL="0" distR="0">
                  <wp:extent cx="4762500" cy="2809875"/>
                  <wp:effectExtent l="0" t="0" r="0" b="9525"/>
                  <wp:docPr id="4" name="图片 4" descr="http://img.newmaker.com/u/art_img/20057/20057122135535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img.newmaker.com/u/art_img/20057/200571221355358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762500" cy="2809875"/>
                          </a:xfrm>
                          <a:prstGeom prst="rect">
                            <a:avLst/>
                          </a:prstGeom>
                          <a:noFill/>
                          <a:ln>
                            <a:noFill/>
                          </a:ln>
                        </pic:spPr>
                      </pic:pic>
                    </a:graphicData>
                  </a:graphic>
                </wp:inline>
              </w:drawing>
            </w:r>
            <w:r>
              <w:rPr>
                <w:rFonts w:ascii="Arial" w:hAnsi="Arial" w:eastAsia="宋体" w:cs="Arial"/>
                <w:color w:val="000000"/>
                <w:kern w:val="0"/>
                <w:sz w:val="18"/>
                <w:szCs w:val="18"/>
              </w:rPr>
              <w:t> </w:t>
            </w:r>
            <w:r>
              <w:rPr>
                <w:rFonts w:ascii="Arial" w:hAnsi="Arial" w:eastAsia="宋体" w:cs="Arial"/>
                <w:color w:val="000000"/>
                <w:kern w:val="0"/>
                <w:sz w:val="18"/>
                <w:szCs w:val="18"/>
              </w:rPr>
              <w:br w:type="textWrapping"/>
            </w:r>
            <w:r>
              <w:rPr>
                <w:rFonts w:ascii="Arial" w:hAnsi="Arial" w:eastAsia="宋体" w:cs="Arial"/>
                <w:color w:val="000000"/>
                <w:kern w:val="0"/>
                <w:sz w:val="18"/>
                <w:szCs w:val="18"/>
              </w:rPr>
              <w:t>图4 控制系统结构简图</w:t>
            </w:r>
          </w:p>
          <w:p>
            <w:pPr>
              <w:widowControl/>
              <w:spacing w:line="273" w:lineRule="atLeast"/>
              <w:jc w:val="left"/>
              <w:rPr>
                <w:rFonts w:ascii="Arial" w:hAnsi="Arial" w:eastAsia="宋体" w:cs="Arial"/>
                <w:color w:val="000000"/>
                <w:kern w:val="0"/>
                <w:szCs w:val="21"/>
              </w:rPr>
            </w:pPr>
            <w:r>
              <w:rPr>
                <w:rFonts w:ascii="Arial" w:hAnsi="Arial" w:eastAsia="宋体" w:cs="Arial"/>
                <w:color w:val="000000"/>
                <w:kern w:val="0"/>
                <w:szCs w:val="21"/>
              </w:rPr>
              <w:t>1、主控系统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主控系统采用OMRON CQM1H系列中小型PLC，该机种采用非机架结构的模块拼装方式，从左向右分别由</w:t>
            </w:r>
            <w:r>
              <w:fldChar w:fldCharType="begin"/>
            </w:r>
            <w:r>
              <w:instrText xml:space="preserve"> HYPERLINK "http://cn.newmaker.com/product/1170011001.3616.1.html" \t "_blank" </w:instrText>
            </w:r>
            <w:r>
              <w:fldChar w:fldCharType="separate"/>
            </w:r>
            <w:r>
              <w:rPr>
                <w:rFonts w:ascii="Arial" w:hAnsi="Arial" w:eastAsia="宋体" w:cs="Arial"/>
                <w:color w:val="000099"/>
                <w:kern w:val="0"/>
                <w:szCs w:val="21"/>
              </w:rPr>
              <w:t>电源</w:t>
            </w:r>
            <w:r>
              <w:rPr>
                <w:rFonts w:ascii="Arial" w:hAnsi="Arial" w:eastAsia="宋体" w:cs="Arial"/>
                <w:color w:val="000099"/>
                <w:kern w:val="0"/>
                <w:szCs w:val="21"/>
              </w:rPr>
              <w:fldChar w:fldCharType="end"/>
            </w:r>
            <w:r>
              <w:rPr>
                <w:rFonts w:ascii="Arial" w:hAnsi="Arial" w:eastAsia="宋体" w:cs="Arial"/>
                <w:color w:val="000000"/>
                <w:kern w:val="0"/>
                <w:szCs w:val="21"/>
              </w:rPr>
              <w:t>模块PM、CPU模块、功能模块、输入输出模块及终端盖板组成。根据应用系统的不同，用户可以选择相应的模块来组成所需的控制系。由于CQM1H系列PLC的模块种类丰富，功能齐全，几乎可以适应控制系统的各种需求，由其组成的系统也具有相当的柔性化程度。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本控制系统采用的模块及其功能如下：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电源模块PA206：提供稳定的直流工作电源给各模块使用。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CPU模块CQM1H-CPU51：这是整个系统的核心部分，支持最大数量为512点的I/O；支持OMRON特殊指令如PID控制、浮点数运算、宏指令、脉冲指令等；支持Compobus/S和AS接口的多种主从网络模块；支持OMRON最新版编程软件CXP3.1；程序容量最大可达15.2K；内建16点直流12～24V的输入点。将编制好的程序下载运行后可维持系统的自动运行。该模块提供一个RS232端口，和两个内装板插槽，RS232端口可以和其他串口设备进行通讯，该系统中纳入的一个触摸屏TP，就是通过CPU上自带的RS232串口进行通讯的；内装板插槽上最多可以安装两块特殊功能卡，由于本系统无特殊功能需求，所以该槽上是空着的。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网络主模块CQM1-SRM21-V1：系统采用OMRON Compobus/S网络结构，可以大大减少现场接线工作量，并有效延长连接电缆的使用寿命，增加可靠性。机器人工作房内两个回转台上各安装一块远程从模块，通过网络电缆和主模块进行通信，交换信息（I/O状态刷新）。从模块为16点的远程输入模块，其中低8位分配给该工位夹具上的气缸检测夹紧和松开状态使用，高八位分配给系统用于识别夹具编号，进而设定和储存夹具控制信息，然后系统可以根据此信息来对不同夹具进行相应控制。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I/O输入输出模块：输入模块用于接收机器人工作房中各按钮、</w:t>
            </w:r>
            <w:r>
              <w:fldChar w:fldCharType="begin"/>
            </w:r>
            <w:r>
              <w:instrText xml:space="preserve"> HYPERLINK "http://cn.newmaker.com/cat_1980006.html" \t "_blank" </w:instrText>
            </w:r>
            <w:r>
              <w:fldChar w:fldCharType="separate"/>
            </w:r>
            <w:r>
              <w:rPr>
                <w:rFonts w:ascii="Arial" w:hAnsi="Arial" w:eastAsia="宋体" w:cs="Arial"/>
                <w:color w:val="000099"/>
                <w:kern w:val="0"/>
                <w:szCs w:val="21"/>
              </w:rPr>
              <w:t>传感器</w:t>
            </w:r>
            <w:r>
              <w:rPr>
                <w:rFonts w:ascii="Arial" w:hAnsi="Arial" w:eastAsia="宋体" w:cs="Arial"/>
                <w:color w:val="000099"/>
                <w:kern w:val="0"/>
                <w:szCs w:val="21"/>
              </w:rPr>
              <w:fldChar w:fldCharType="end"/>
            </w:r>
            <w:r>
              <w:rPr>
                <w:rFonts w:ascii="Arial" w:hAnsi="Arial" w:eastAsia="宋体" w:cs="Arial"/>
                <w:color w:val="000000"/>
                <w:kern w:val="0"/>
                <w:szCs w:val="21"/>
              </w:rPr>
              <w:t>等信号，输出模块用于控制各种执行器件，如气缸、电机、机器人等根据工艺要求进行动作，满足生产和安全的需要。机器人的控制由主控系统通过与机器人控制器之间的I/O信号交换来实现。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2、机器人控制系统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机器人控制系统由机器人控制器、外轴控制器、焊机等构成；在控制属性上，机器人控制系统是下层，是被控制的对象，它受上层主控系统的指挥和调用，处于被动地位。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机器人控制器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由电源模块、CPU、伺服控制单元、输入输出模块、焊机接口模块等组成，用以控制机器人本体的自如运动，控制方法为程序示教和再现法，这是通过连接于控制器上的TP (Teach-Pandent示教器) 来实现的。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外轴控制器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它是机器人控制器的扩展，内含一个伺服放大模块，可以同时控制两个外轴的运动。由于这两个外轴是机器人控制器的一部分，所以它们可以在机器人本体移动的同时进行转动，从而将焊接轨迹中通常需要由外轴单独回转的时间节约下来，提高了焊接效率。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焊机控制器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用于控制弧焊时的规范，如电流、电压、焊丝的送给、焊接保护气体通断等，对焊接质量的控制起关键作用。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关键控制方法研究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客户要求中关键及难点在于：多套夹具能在一套系统中共存，夹具的更换时间不应超过五分钟，新制夹具加入系统时，无需改动PLC程序，做到自动识别和控制（即所谓的柔性控制），且系统中的夹具可扩展容量不应小于100台/套。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1．夹具控制字的形成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宋体" w:hAnsi="宋体" w:eastAsia="宋体" w:cs="宋体"/>
                <w:color w:val="000000"/>
                <w:kern w:val="0"/>
                <w:szCs w:val="21"/>
              </w:rPr>
              <w:t>⑴</w:t>
            </w:r>
            <w:r>
              <w:rPr>
                <w:rFonts w:ascii="Arial" w:hAnsi="Arial" w:eastAsia="宋体" w:cs="Arial"/>
                <w:color w:val="000000"/>
                <w:kern w:val="0"/>
                <w:szCs w:val="21"/>
              </w:rPr>
              <w:t>控制对象特点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主要控制对象为夹具上的气缸，每套夹具上的气缸数量可能不一样，但总数不超过4组，每组气缸使用一个三位五通电磁阀，这样每套夹具有2x4=8个输出点控制电磁阀动作，有两个工位总共16个输出点；同时为了检测气缸的夹紧或松开状态，每组气缸配有两个传感器（干簧管磁性开关），每套夹具2x4=8点输入；鉴于夹具识别的需要，另分配8点输入用于以两进制识别不同夹具，这样每个工位上的16点远程输入模块正好用足，且夹具最大可扩展数量为20+21+…+26+27=28=256，理论上两工位有2x256=512套夹具容量，已足够。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宋体" w:hAnsi="宋体" w:eastAsia="宋体" w:cs="宋体"/>
                <w:color w:val="000000"/>
                <w:kern w:val="0"/>
                <w:szCs w:val="21"/>
              </w:rPr>
              <w:t>⑵</w:t>
            </w:r>
            <w:r>
              <w:rPr>
                <w:rFonts w:ascii="Arial" w:hAnsi="Arial" w:eastAsia="宋体" w:cs="Arial"/>
                <w:color w:val="000000"/>
                <w:kern w:val="0"/>
                <w:szCs w:val="21"/>
              </w:rPr>
              <w:t>控制特征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夹具上四组气缸分别称为第1、2、3、4组，在控制上的特征是：夹紧时的顺序为1号夹紧，1号夹紧到位后2号夹紧，依此类推，全部气缸都夹紧后启动机器人进行焊接作业；待机器人焊接完成后气缸逐次松开，通常的顺序与夹紧时相反。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根据夹具制造时的使用要求和工件焊接工艺的不同，有些夹具气缸数量可能少于四；有些气缸的夹紧或松开位置可能不必要进行检测等情况，设想在程序数据区中开辟若干存储区间，分别用于存放该套夹具上的每组气缸实际是否存在，每组气缸的传感器是否需要检测等信息。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宋体" w:hAnsi="宋体" w:eastAsia="宋体" w:cs="宋体"/>
                <w:color w:val="000000"/>
                <w:kern w:val="0"/>
                <w:szCs w:val="21"/>
              </w:rPr>
              <w:t>⑶</w:t>
            </w:r>
            <w:r>
              <w:rPr>
                <w:rFonts w:ascii="Arial" w:hAnsi="Arial" w:eastAsia="宋体" w:cs="Arial"/>
                <w:color w:val="000000"/>
                <w:kern w:val="0"/>
                <w:szCs w:val="21"/>
              </w:rPr>
              <w:t>数据储存方式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为了适应更多的情况，每类信息分别形成数据后在相邻的数据区储存，每套夹具包含的信息暂定为3类：气缸使用字、夹紧检测字、松开检测字，再加上1个备用字，故夹具控制字长度为四个字；该信息可存放于以夹具编号作为索引间接寻址的数据区内，当需要控制时可由系统将夹具信息再次寻址调出，按固定格式对夹具气缸进行控制，具体内容见表1：</w:t>
            </w:r>
          </w:p>
          <w:p>
            <w:pPr>
              <w:widowControl/>
              <w:spacing w:before="100" w:beforeAutospacing="1" w:after="100" w:afterAutospacing="1" w:line="273" w:lineRule="atLeast"/>
              <w:jc w:val="center"/>
              <w:rPr>
                <w:rFonts w:ascii="Arial" w:hAnsi="Arial" w:eastAsia="宋体" w:cs="Arial"/>
                <w:color w:val="000000"/>
                <w:kern w:val="0"/>
                <w:sz w:val="18"/>
                <w:szCs w:val="18"/>
              </w:rPr>
            </w:pPr>
            <w:r>
              <w:rPr>
                <w:rFonts w:ascii="Arial" w:hAnsi="Arial" w:eastAsia="宋体" w:cs="Arial"/>
                <w:color w:val="000000"/>
                <w:kern w:val="0"/>
                <w:sz w:val="18"/>
                <w:szCs w:val="18"/>
              </w:rPr>
              <w:drawing>
                <wp:inline distT="0" distB="0" distL="0" distR="0">
                  <wp:extent cx="4762500" cy="2419350"/>
                  <wp:effectExtent l="0" t="0" r="0" b="0"/>
                  <wp:docPr id="3" name="图片 3" descr="http://img.newmaker.com/u/art_img/20057/20057122143539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img.newmaker.com/u/art_img/20057/2005712214353997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762500" cy="2419350"/>
                          </a:xfrm>
                          <a:prstGeom prst="rect">
                            <a:avLst/>
                          </a:prstGeom>
                          <a:noFill/>
                          <a:ln>
                            <a:noFill/>
                          </a:ln>
                        </pic:spPr>
                      </pic:pic>
                    </a:graphicData>
                  </a:graphic>
                </wp:inline>
              </w:drawing>
            </w:r>
          </w:p>
          <w:p>
            <w:pPr>
              <w:widowControl/>
              <w:spacing w:line="273" w:lineRule="atLeast"/>
              <w:jc w:val="left"/>
              <w:rPr>
                <w:rFonts w:ascii="Arial" w:hAnsi="Arial" w:eastAsia="宋体" w:cs="Arial"/>
                <w:color w:val="000000"/>
                <w:kern w:val="0"/>
                <w:szCs w:val="21"/>
              </w:rPr>
            </w:pPr>
            <w:r>
              <w:rPr>
                <w:rFonts w:ascii="Arial" w:hAnsi="Arial" w:eastAsia="宋体" w:cs="Arial"/>
                <w:color w:val="000000"/>
                <w:kern w:val="0"/>
                <w:szCs w:val="21"/>
              </w:rPr>
              <w:t>2．夹具自动识别的实现：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宋体" w:hAnsi="宋体" w:eastAsia="宋体" w:cs="宋体"/>
                <w:color w:val="000000"/>
                <w:kern w:val="0"/>
                <w:szCs w:val="21"/>
              </w:rPr>
              <w:t>⑴</w:t>
            </w:r>
            <w:r>
              <w:rPr>
                <w:rFonts w:ascii="Arial" w:hAnsi="Arial" w:eastAsia="宋体" w:cs="Arial"/>
                <w:color w:val="000000"/>
                <w:kern w:val="0"/>
                <w:szCs w:val="21"/>
              </w:rPr>
              <w:t>硬件组成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主要依赖夹具接线盒中的识别芯片，该芯片其实只是一块小线路板，装了一块8位DIP拨码开关，通过二进制方式来表明该夹具的编号，每套夹具上都安装了一个接线盒，通过这种方式从硬件上来实现对夹具的编码，既简单也实用，且容易实现。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宋体" w:hAnsi="宋体" w:eastAsia="宋体" w:cs="宋体"/>
                <w:color w:val="000000"/>
                <w:kern w:val="0"/>
                <w:szCs w:val="21"/>
              </w:rPr>
              <w:t>⑵</w:t>
            </w:r>
            <w:r>
              <w:rPr>
                <w:rFonts w:ascii="Arial" w:hAnsi="Arial" w:eastAsia="宋体" w:cs="Arial"/>
                <w:color w:val="000000"/>
                <w:kern w:val="0"/>
                <w:szCs w:val="21"/>
              </w:rPr>
              <w:t>软件实现：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PLC程序上，每次程序循环中都对远程模块上对应于夹具编号的输入点进行扫描，并放入暂存区，同时与记忆区中的夹具编号进行比较。如果两者相同，则表明该工位上的夹具状态正常，无需任何动作；如果不同，则提示夹具编号变化，需操作员确认，此时又分为两种情况：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宋体" w:hAnsi="宋体" w:eastAsia="宋体" w:cs="宋体"/>
                <w:color w:val="000000"/>
                <w:kern w:val="0"/>
                <w:szCs w:val="21"/>
              </w:rPr>
              <w:t>①</w:t>
            </w:r>
            <w:r>
              <w:rPr>
                <w:rFonts w:ascii="Arial" w:hAnsi="Arial" w:eastAsia="宋体" w:cs="Arial"/>
                <w:color w:val="000000"/>
                <w:kern w:val="0"/>
                <w:szCs w:val="21"/>
              </w:rPr>
              <w:t xml:space="preserve"> 有新夹具换上工作台，且系统已经正确识别出新放入的夹具的编号，那么操作员需要在触摸屏上确认该夹具编号的正确性。如果放上的夹具以前从未在该系统中使用过，则需对该夹具的控制字进行正确设置后写入PLC数据区；如果该夹具曾经在本系统中使用过至少一次，即数据区中保留有该夹具号对应的控制信息，那么操作员在确认夹具编号后，该夹具的控制信息会由系统以间接寻址方式自动调用出来，并显示在触摸屏上，确认无误，即可开始生产。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宋体" w:hAnsi="宋体" w:eastAsia="宋体" w:cs="宋体"/>
                <w:color w:val="000000"/>
                <w:kern w:val="0"/>
                <w:szCs w:val="21"/>
              </w:rPr>
              <w:t>②</w:t>
            </w:r>
            <w:r>
              <w:rPr>
                <w:rFonts w:ascii="Arial" w:hAnsi="Arial" w:eastAsia="宋体" w:cs="Arial"/>
                <w:color w:val="000000"/>
                <w:kern w:val="0"/>
                <w:szCs w:val="21"/>
              </w:rPr>
              <w:t xml:space="preserve"> 由于硬件故障（连线断裂、网络故障等）造成自动识别出的夹具编号与实际不符时，（识别出错）可通过强行写入正确夹具编号的方式来让系统进入正常工作模式进行生产，待完成任务后再进行维修等操作，以缓解生产压力。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综合</w:t>
            </w:r>
            <w:r>
              <w:rPr>
                <w:rFonts w:ascii="宋体" w:hAnsi="宋体" w:eastAsia="宋体" w:cs="宋体"/>
                <w:color w:val="000000"/>
                <w:kern w:val="0"/>
                <w:szCs w:val="21"/>
              </w:rPr>
              <w:t>①②</w:t>
            </w:r>
            <w:r>
              <w:rPr>
                <w:rFonts w:ascii="Arial" w:hAnsi="Arial" w:eastAsia="宋体" w:cs="Arial"/>
                <w:color w:val="000000"/>
                <w:kern w:val="0"/>
                <w:szCs w:val="21"/>
              </w:rPr>
              <w:t>两点可知，夹具识别流程如图5：</w:t>
            </w:r>
          </w:p>
          <w:p>
            <w:pPr>
              <w:widowControl/>
              <w:spacing w:before="100" w:beforeAutospacing="1" w:after="100" w:afterAutospacing="1" w:line="273" w:lineRule="atLeast"/>
              <w:jc w:val="center"/>
              <w:rPr>
                <w:rFonts w:ascii="Arial" w:hAnsi="Arial" w:eastAsia="宋体" w:cs="Arial"/>
                <w:color w:val="000000"/>
                <w:kern w:val="0"/>
                <w:sz w:val="18"/>
                <w:szCs w:val="18"/>
              </w:rPr>
            </w:pPr>
            <w:r>
              <w:rPr>
                <w:rFonts w:ascii="Arial" w:hAnsi="Arial" w:eastAsia="宋体" w:cs="Arial"/>
                <w:color w:val="000000"/>
                <w:kern w:val="0"/>
                <w:sz w:val="18"/>
                <w:szCs w:val="18"/>
              </w:rPr>
              <w:drawing>
                <wp:inline distT="0" distB="0" distL="0" distR="0">
                  <wp:extent cx="3962400" cy="4400550"/>
                  <wp:effectExtent l="0" t="0" r="0" b="0"/>
                  <wp:docPr id="2" name="图片 2" descr="http://img.newmaker.com/u/art_img/20057/20057122145751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img.newmaker.com/u/art_img/20057/2005712214575147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962400" cy="4400550"/>
                          </a:xfrm>
                          <a:prstGeom prst="rect">
                            <a:avLst/>
                          </a:prstGeom>
                          <a:noFill/>
                          <a:ln>
                            <a:noFill/>
                          </a:ln>
                        </pic:spPr>
                      </pic:pic>
                    </a:graphicData>
                  </a:graphic>
                </wp:inline>
              </w:drawing>
            </w:r>
            <w:r>
              <w:rPr>
                <w:rFonts w:ascii="Arial" w:hAnsi="Arial" w:eastAsia="宋体" w:cs="Arial"/>
                <w:color w:val="000000"/>
                <w:kern w:val="0"/>
                <w:sz w:val="18"/>
                <w:szCs w:val="18"/>
              </w:rPr>
              <w:t> </w:t>
            </w:r>
            <w:r>
              <w:rPr>
                <w:rFonts w:ascii="Arial" w:hAnsi="Arial" w:eastAsia="宋体" w:cs="Arial"/>
                <w:color w:val="000000"/>
                <w:kern w:val="0"/>
                <w:sz w:val="18"/>
                <w:szCs w:val="18"/>
              </w:rPr>
              <w:br w:type="textWrapping"/>
            </w:r>
            <w:r>
              <w:rPr>
                <w:rFonts w:ascii="Arial" w:hAnsi="Arial" w:eastAsia="宋体" w:cs="Arial"/>
                <w:color w:val="000000"/>
                <w:kern w:val="0"/>
                <w:sz w:val="18"/>
                <w:szCs w:val="18"/>
              </w:rPr>
              <w:t>图5 夹具识别流程图</w:t>
            </w:r>
          </w:p>
          <w:p>
            <w:pPr>
              <w:widowControl/>
              <w:spacing w:line="273" w:lineRule="atLeast"/>
              <w:jc w:val="left"/>
              <w:rPr>
                <w:rFonts w:ascii="Arial" w:hAnsi="Arial" w:eastAsia="宋体" w:cs="Arial"/>
                <w:color w:val="000000"/>
                <w:kern w:val="0"/>
                <w:szCs w:val="21"/>
              </w:rPr>
            </w:pPr>
            <w:r>
              <w:rPr>
                <w:rFonts w:ascii="Arial" w:hAnsi="Arial" w:eastAsia="宋体" w:cs="Arial"/>
                <w:color w:val="000000"/>
                <w:kern w:val="0"/>
                <w:szCs w:val="21"/>
              </w:rPr>
              <w:t>3．多夹具系统气缸柔性控制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根据夹具控制特点，各气缸由电磁阀控制，按工艺要求进行先后动作，编制程序如图6：</w:t>
            </w:r>
          </w:p>
          <w:p>
            <w:pPr>
              <w:widowControl/>
              <w:spacing w:before="100" w:beforeAutospacing="1" w:after="100" w:afterAutospacing="1" w:line="273" w:lineRule="atLeast"/>
              <w:jc w:val="center"/>
              <w:rPr>
                <w:rFonts w:ascii="Arial" w:hAnsi="Arial" w:eastAsia="宋体" w:cs="Arial"/>
                <w:color w:val="000000"/>
                <w:kern w:val="0"/>
                <w:sz w:val="18"/>
                <w:szCs w:val="18"/>
              </w:rPr>
            </w:pPr>
            <w:r>
              <w:rPr>
                <w:rFonts w:ascii="Arial" w:hAnsi="Arial" w:eastAsia="宋体" w:cs="Arial"/>
                <w:color w:val="000000"/>
                <w:kern w:val="0"/>
                <w:sz w:val="18"/>
                <w:szCs w:val="18"/>
              </w:rPr>
              <w:drawing>
                <wp:inline distT="0" distB="0" distL="0" distR="0">
                  <wp:extent cx="4457700" cy="4200525"/>
                  <wp:effectExtent l="0" t="0" r="0" b="9525"/>
                  <wp:docPr id="1" name="图片 1" descr="http://img.newmaker.com/u/art_img/20057/20057122152831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img.newmaker.com/u/art_img/20057/2005712215283127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457700" cy="4200525"/>
                          </a:xfrm>
                          <a:prstGeom prst="rect">
                            <a:avLst/>
                          </a:prstGeom>
                          <a:noFill/>
                          <a:ln>
                            <a:noFill/>
                          </a:ln>
                        </pic:spPr>
                      </pic:pic>
                    </a:graphicData>
                  </a:graphic>
                </wp:inline>
              </w:drawing>
            </w:r>
            <w:r>
              <w:rPr>
                <w:rFonts w:ascii="Arial" w:hAnsi="Arial" w:eastAsia="宋体" w:cs="Arial"/>
                <w:color w:val="000000"/>
                <w:kern w:val="0"/>
                <w:sz w:val="18"/>
                <w:szCs w:val="18"/>
              </w:rPr>
              <w:t> </w:t>
            </w:r>
            <w:r>
              <w:rPr>
                <w:rFonts w:ascii="Arial" w:hAnsi="Arial" w:eastAsia="宋体" w:cs="Arial"/>
                <w:color w:val="000000"/>
                <w:kern w:val="0"/>
                <w:sz w:val="18"/>
                <w:szCs w:val="18"/>
              </w:rPr>
              <w:br w:type="textWrapping"/>
            </w:r>
            <w:r>
              <w:rPr>
                <w:rFonts w:ascii="Arial" w:hAnsi="Arial" w:eastAsia="宋体" w:cs="Arial"/>
                <w:color w:val="000000"/>
                <w:kern w:val="0"/>
                <w:sz w:val="18"/>
                <w:szCs w:val="18"/>
              </w:rPr>
              <w:t>图6 具夹紧流程梯形图</w:t>
            </w:r>
          </w:p>
          <w:p>
            <w:pPr>
              <w:widowControl/>
              <w:spacing w:line="273" w:lineRule="atLeast"/>
              <w:jc w:val="left"/>
              <w:rPr>
                <w:rFonts w:ascii="Arial" w:hAnsi="Arial" w:eastAsia="宋体" w:cs="Arial"/>
                <w:color w:val="000000"/>
                <w:kern w:val="0"/>
                <w:szCs w:val="21"/>
              </w:rPr>
            </w:pPr>
            <w:r>
              <w:rPr>
                <w:rFonts w:ascii="Arial" w:hAnsi="Arial" w:eastAsia="宋体" w:cs="Arial"/>
                <w:color w:val="000000"/>
                <w:kern w:val="0"/>
                <w:szCs w:val="21"/>
              </w:rPr>
              <w:t>在程序条“0”中，200通道为夹紧流程控制字，需要夹紧时将1写入200通道，则200.00位成为一号气缸夹紧动作标志位；条“1”中，HR40.00为根据间接寻址查表得到的该夹具控制字中一号气缸的启用标志，如果该标志为1，则在200.00位为1的条件下，右侧的输出201.00为ON，此时一号气缸夹紧电磁阀通电，产生气缸夹紧动作；当程序检测到该气缸夹紧后，一号夹紧标志位HR65.00为ON，所以输出200.01为ON，并自保，同时切断201.00的通路，使201.00为OFF，一号气缸夹紧电磁阀断电，不再动作，此时一号气缸夹紧动作完成；当然，如果一号气缸的启用标志HR40.00为0，则201.00始终为OFF，同时由于HR40.00的非并与一号气缸夹紧指示标志位下方，故程序直接接通200.01为ON，进行下一步动作。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与一号气缸夹紧过程完全类似，当所有气缸都夹紧后，进入夹紧控制流程的结束控制位，当该位为ON后，程序将对通道清零，至此夹具的夹紧控制已告完成。 </w:t>
            </w:r>
            <w:r>
              <w:rPr>
                <w:rFonts w:ascii="Arial" w:hAnsi="Arial" w:eastAsia="宋体" w:cs="Arial"/>
                <w:color w:val="000000"/>
                <w:kern w:val="0"/>
                <w:szCs w:val="21"/>
              </w:rPr>
              <w:br w:type="textWrapping"/>
            </w:r>
            <w:r>
              <w:rPr>
                <w:rFonts w:ascii="Arial" w:hAnsi="Arial" w:eastAsia="宋体" w:cs="Arial"/>
                <w:color w:val="000000"/>
                <w:kern w:val="0"/>
                <w:szCs w:val="21"/>
              </w:rPr>
              <w:br w:type="textWrapping"/>
            </w:r>
            <w:r>
              <w:rPr>
                <w:rFonts w:ascii="Arial" w:hAnsi="Arial" w:eastAsia="宋体" w:cs="Arial"/>
                <w:color w:val="000000"/>
                <w:kern w:val="0"/>
                <w:szCs w:val="21"/>
              </w:rPr>
              <w:t>以上编程方法，可触类旁通，再编写出夹具松开流程的控制程序，然后分别做出两工位各自的夹具夹紧和松开程序，那么这部分的功能就算完全实现了。(end)</w:t>
            </w:r>
          </w:p>
        </w:tc>
      </w:tr>
      <w:tr>
        <w:tblPrEx>
          <w:shd w:val="clear" w:color="auto" w:fill="FFFFFF"/>
          <w:tblLayout w:type="fixed"/>
          <w:tblCellMar>
            <w:top w:w="45" w:type="dxa"/>
            <w:left w:w="45" w:type="dxa"/>
            <w:bottom w:w="45" w:type="dxa"/>
            <w:right w:w="45" w:type="dxa"/>
          </w:tblCellMar>
        </w:tblPrEx>
        <w:trPr>
          <w:tblCellSpacing w:w="0" w:type="dxa"/>
        </w:trPr>
        <w:tc>
          <w:tcPr>
            <w:tcW w:w="8312" w:type="dxa"/>
            <w:shd w:val="clear" w:color="auto" w:fill="FFFFFF"/>
            <w:vAlign w:val="center"/>
          </w:tcPr>
          <w:p>
            <w:pPr>
              <w:widowControl/>
              <w:jc w:val="left"/>
              <w:rPr>
                <w:rFonts w:ascii="Arial" w:hAnsi="Arial" w:eastAsia="宋体" w:cs="Arial"/>
                <w:color w:val="000000"/>
                <w:kern w:val="0"/>
                <w:sz w:val="18"/>
                <w:szCs w:val="18"/>
              </w:rPr>
            </w:pPr>
          </w:p>
        </w:tc>
      </w:tr>
    </w:tbl>
    <w:p>
      <w:pPr>
        <w:rPr>
          <w:rFonts w:hint="eastAsia" w:eastAsiaTheme="minorEastAsia"/>
          <w:lang w:val="en-US" w:eastAsia="zh-CN"/>
        </w:rPr>
      </w:pPr>
      <w:r>
        <w:rPr>
          <w:rFonts w:hint="eastAsia"/>
          <w:lang w:val="en-US" w:eastAsia="zh-CN"/>
        </w:rPr>
        <w:t>以上资源来源于网络——由机器人在线整理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6B"/>
    <w:rsid w:val="000C4B6B"/>
    <w:rsid w:val="00106C4E"/>
    <w:rsid w:val="006D7C35"/>
    <w:rsid w:val="00A42C56"/>
    <w:rsid w:val="25144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uiPriority w:val="99"/>
    <w:rPr>
      <w:color w:val="0000FF"/>
      <w:u w:val="single"/>
    </w:rPr>
  </w:style>
  <w:style w:type="character" w:customStyle="1" w:styleId="7">
    <w:name w:val="apple-converted-space"/>
    <w:basedOn w:val="4"/>
    <w:uiPriority w:val="0"/>
  </w:style>
  <w:style w:type="character" w:customStyle="1" w:styleId="8">
    <w:name w:val="批注框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SkyUN.Org</Company>
  <Pages>8</Pages>
  <Words>793</Words>
  <Characters>4523</Characters>
  <Lines>37</Lines>
  <Paragraphs>10</Paragraphs>
  <TotalTime>1</TotalTime>
  <ScaleCrop>false</ScaleCrop>
  <LinksUpToDate>false</LinksUpToDate>
  <CharactersWithSpaces>5306</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2016-05-31T14:29:00Z</dcterms:created>
  <dc:creator>DADI</dc:creator>
  <cp:lastModifiedBy>     瘋</cp:lastModifiedBy>
  <dcterms:modified xsi:type="dcterms:W3CDTF">2018-07-12T09:13:16Z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